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A9" w:rsidRDefault="00B76C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6CA9" w:rsidRDefault="00B76CA9">
      <w:pPr>
        <w:pStyle w:val="ConsPlusNormal"/>
        <w:jc w:val="both"/>
        <w:outlineLvl w:val="0"/>
      </w:pPr>
    </w:p>
    <w:p w:rsidR="00B76CA9" w:rsidRDefault="00B76CA9">
      <w:pPr>
        <w:pStyle w:val="ConsPlusNormal"/>
        <w:jc w:val="right"/>
      </w:pPr>
      <w:r>
        <w:t>"Банковское кредитование", 2018, N 5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Title"/>
        <w:jc w:val="center"/>
      </w:pPr>
      <w:r>
        <w:t>КАК ПРОВОДИТЬ ОЦЕНКУ ЗАЛОГА</w:t>
      </w:r>
    </w:p>
    <w:p w:rsidR="00B76CA9" w:rsidRDefault="00B76CA9">
      <w:pPr>
        <w:pStyle w:val="ConsPlusTitle"/>
        <w:jc w:val="center"/>
      </w:pPr>
      <w:r>
        <w:t>В КАЧЕСТВЕ ЕДИНОГО НЕДВИЖИМОГО КОМПЛЕКСА?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 xml:space="preserve">Единый недвижимый комплекс (ЕНК) - сравнительно новый класс объектов оценки, предусмотренный </w:t>
      </w:r>
      <w:hyperlink r:id="rId6" w:history="1">
        <w:r>
          <w:rPr>
            <w:color w:val="0000FF"/>
          </w:rPr>
          <w:t>ГК</w:t>
        </w:r>
      </w:hyperlink>
      <w:r>
        <w:t xml:space="preserve"> РФ. В каких случаях целесообразно оценивать объект залога именно в качестве ЕНК, а не в качестве предприятия? В чем существенные отличия ЕНК от предприятия как единого имущественного комплекса? Какими ФСО руководствоваться при оценке ЕНК? На что обращать внимание при оценке ЕНК в рамках затратного, сравнительного и доходного подходов?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 xml:space="preserve">В практике автора был следующий кейс. Банк взял в залог имущество компании, которая снабжает электричеством один из районов области. Предприятие работает стабильно, с высокой прибылью, но закладывать бизнес собственники не хотят (опасаются чего-то). Предыдущий оценщик (2013 г.) воспользовался списком основных средств и все, вплоть до кресел и диванов в офисе, оценил по рыночной стоимости. Директор компании предложил оценить комплекс имущества (системы), включив в него земельный участок, объекты капитального строительства и основное оборудование. Но имущественный комплекс по </w:t>
      </w:r>
      <w:hyperlink r:id="rId7" w:history="1">
        <w:r>
          <w:rPr>
            <w:color w:val="0000FF"/>
          </w:rPr>
          <w:t>ГК</w:t>
        </w:r>
      </w:hyperlink>
      <w:r>
        <w:t xml:space="preserve"> РФ включает обязательства, НМА и т.п., то есть практически идентичен предприятию.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Мы предложили воспользоваться "новой" </w:t>
      </w:r>
      <w:hyperlink r:id="rId8" w:history="1">
        <w:r>
          <w:rPr>
            <w:color w:val="0000FF"/>
          </w:rPr>
          <w:t>нормой</w:t>
        </w:r>
      </w:hyperlink>
      <w:r>
        <w:t xml:space="preserve"> ГК РФ </w:t>
      </w:r>
      <w:hyperlink w:anchor="P11" w:history="1">
        <w:r>
          <w:rPr>
            <w:color w:val="0000FF"/>
          </w:rPr>
          <w:t>&lt;1&gt;</w:t>
        </w:r>
      </w:hyperlink>
      <w:r>
        <w:t xml:space="preserve"> и оценить объект как единый недвижимый комплекс. Банк заявил, что идея интересная, но такого опыта у банка нет. Тем не менее отчет был принят - правда, после долгих дискуссий и раздумий.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CA9" w:rsidRDefault="00B76CA9">
      <w:pPr>
        <w:pStyle w:val="ConsPlusNormal"/>
        <w:spacing w:before="220"/>
        <w:ind w:firstLine="540"/>
        <w:jc w:val="both"/>
      </w:pPr>
      <w:bookmarkStart w:id="0" w:name="P11"/>
      <w:bookmarkEnd w:id="0"/>
      <w:r>
        <w:t>&lt;1&gt; Рабиева Н. Единый недвижимый комплекс - новый вид недвижимой вещи (http://www.garant.ru/company/garant-press/ab/509529/2/).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>Когда же целесообразно оценивать залог в качестве ЕНК и каковы особенности такой оценки?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jc w:val="center"/>
        <w:outlineLvl w:val="0"/>
      </w:pPr>
      <w:r>
        <w:t>Что представляет собой ЕНК как объект оценки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 xml:space="preserve">Оценщики и потребители оценки часто сталкиваются с проблемой неоднозначной идентификации объектов залога. При этом внимание оценщиков и читателей отчета сосредоточено на документах, подтверждающих наличие объекта и его свойства. Но содержательна проблема идентификации - это проблема наименования объекта, то есть указания его места в некоторой, желательно общепризнанной, классификации. Почему это важно? Потому что от места объекта оценки в классификации зависит главное в оценке - выбор методов оценки и объектов-аналогов </w:t>
      </w:r>
      <w:hyperlink w:anchor="P19" w:history="1">
        <w:r>
          <w:rPr>
            <w:color w:val="0000FF"/>
          </w:rPr>
          <w:t>&lt;1&gt;</w:t>
        </w:r>
      </w:hyperlink>
      <w:r>
        <w:t>. Таким образом, идентификация объекта оценки в решающей степени определяет и результат оценки.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CA9" w:rsidRDefault="00B76CA9">
      <w:pPr>
        <w:pStyle w:val="ConsPlusNormal"/>
        <w:spacing w:before="220"/>
        <w:ind w:firstLine="540"/>
        <w:jc w:val="both"/>
      </w:pPr>
      <w:bookmarkStart w:id="1" w:name="P19"/>
      <w:bookmarkEnd w:id="1"/>
      <w:r>
        <w:t>&lt;1&gt; Озеров Е.С. Экономический анализ и оценка недвижимости. СПб.: Издательство МКС, 2007.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 xml:space="preserve">Напомним, что по этому поводу сообщает нам Закон N 135-ФЗ </w:t>
      </w:r>
      <w:hyperlink w:anchor="P29" w:history="1">
        <w:r>
          <w:rPr>
            <w:color w:val="0000FF"/>
          </w:rPr>
          <w:t>&lt;2&gt;</w:t>
        </w:r>
      </w:hyperlink>
      <w:r>
        <w:t xml:space="preserve"> в </w:t>
      </w:r>
      <w:hyperlink r:id="rId9" w:history="1">
        <w:r>
          <w:rPr>
            <w:color w:val="0000FF"/>
          </w:rPr>
          <w:t>ст. 5</w:t>
        </w:r>
      </w:hyperlink>
      <w:r>
        <w:t xml:space="preserve"> "Объекты оценки". К объектам оценки относятся: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отдельные материальные объекты (вещи);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lastRenderedPageBreak/>
        <w:t>- совокупность вещей, составляющих имущество лица, в том числе имущество определенного вида (движимое или недвижимое, в т.ч. предприятия);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право собственности и иные вещные права на имущество или отдельные вещи из состава имущества;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права требования, обязательства (долги);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работы, услуги, информация;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иные объекты гражданских прав, в отношении которых законодательством РФ установлена возможность их участия в гражданском обороте.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CA9" w:rsidRDefault="00B76CA9">
      <w:pPr>
        <w:pStyle w:val="ConsPlusNormal"/>
        <w:spacing w:before="220"/>
        <w:ind w:firstLine="540"/>
        <w:jc w:val="both"/>
      </w:pPr>
      <w:bookmarkStart w:id="2" w:name="P29"/>
      <w:bookmarkEnd w:id="2"/>
      <w:r>
        <w:t xml:space="preserve">&lt;2&gt;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29.07.1998 N 135-ФЗ "Об оценочной деятельности в Российской Федерации".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>Классификация объектов оценки отражена и в классификации самих оценщиков (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Минэкономразвития России от 29.05.2017 N 257). В специальную часть перечня экзаменационных вопросов для проведения квалификационного экзамена в области оценочной деятельности включаются вопросы по направлениям оценочной деятельности: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1) оценка недвижимости (застроенных и незастроенных земельных участков, объектов капитального строительства, жилых и нежилых помещений, а также определение стоимости работ и услуг, связанных с указанными объектами недвижимости);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2) оценка движимого имущества (отдельных машин и единиц оборудования, групп машин и оборудования, частей машин и оборудования, подлежащих государственной регистрации воздушных и морских судов, судов внутреннего плавания, космических объектов, иного движимого имущества, а также определение стоимости работ и услуг, связанных с машинами, оборудованием, иным движимым имуществом);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3) оценка бизнеса (акций, паев, долей, </w:t>
      </w:r>
      <w:r>
        <w:rPr>
          <w:b/>
        </w:rPr>
        <w:t>имущественных комплексов организации или их частей как обособленного имущества действующего бизнеса</w:t>
      </w:r>
      <w:r>
        <w:t>, нематериальных активов и прав, относящихся к интеллектуальной деятельности в производственной, научной, литературной и художественной областях, прав, составляющих содержание договорных обязательств).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Вспомним некоторые определения из </w:t>
      </w:r>
      <w:hyperlink r:id="rId12" w:history="1">
        <w:r>
          <w:rPr>
            <w:color w:val="0000FF"/>
          </w:rPr>
          <w:t>ГК</w:t>
        </w:r>
      </w:hyperlink>
      <w:r>
        <w:t xml:space="preserve"> РФ. К недвижимым вещам (недвижимому имуществу, недвижимости)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Вещи, не относящиеся к недвижимости, включая деньги и ценные бумаги, признаются </w:t>
      </w:r>
      <w:r>
        <w:rPr>
          <w:b/>
        </w:rPr>
        <w:t>движимым имуществом</w:t>
      </w:r>
      <w:r>
        <w:t>. Регистрация прав на движимые вещи не требуется, кроме случаев, указанных в законе.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rPr>
          <w:b/>
        </w:rPr>
        <w:t>Имущественный комплекс</w:t>
      </w:r>
      <w:r>
        <w:t xml:space="preserve"> - понятие, которое используется в разных отраслях экономики и права. Им считается совокупность взаимосвязанных объектов, движимых и недвижимых, используемых как одно целое по общему назначению.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rPr>
          <w:b/>
        </w:rPr>
        <w:t>Предприятие</w:t>
      </w:r>
      <w:r>
        <w:t xml:space="preserve"> - имущественный комплекс, в состав которого входят недвижимость (сооружения, участки земли), движимые объекты (сырье, инвентарь, оборудование, готовые изделия), </w:t>
      </w:r>
      <w:r>
        <w:rPr>
          <w:b/>
        </w:rPr>
        <w:t>обязательства и права</w:t>
      </w:r>
      <w:r>
        <w:t xml:space="preserve"> (в т.ч. исключительные).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Предприятием как объектом прав признается имущественный комплекс, используемый для осуществления предпринимательской деятельности. В состав предприятия как имущественного </w:t>
      </w:r>
      <w:r>
        <w:lastRenderedPageBreak/>
        <w:t>комплекса и как объекта оценки входят все виды имущества, предназначенные для его деятельности (извлечения прибыли), включая: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земельные участки (недвижимость);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здания, сооружения (недвижимость);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оборудование, инвентарь, сырье, продукцию (движимое имущество);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права требования, долги (бизнес);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права на обозначения, индивидуализирующие предприятие, его продукцию, работы и услуги (коммерческое обозначение, товарные знаки, знаки обслуживания), и другие исключительные права, если иное не предусмотрено законом или договором (НМА).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Из изложенного можно сделать следующие выводы: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1. Земельный участок и объекты капитального строительства на нем - это элементы единого объекта недвижимости как системы.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2. Здание как система состоит, с одной стороны, из помещений, а с другой - из конструктивных элементов.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3. Предприятие (бизнес) - система, представляющая собой тесно взаимосвязанные объекты недвижимости, оборудование, машины и транспортные средства, а также долги и обязательства, результаты интеллектуальной деятельности (интеллектуальный капитал).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Причем интеллектуальный капитал (человеческий, социальный, структурный и потребительский) вносит решающий вклад в эффективность и стоимость успешно действующего предприятия.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Для оценки залога важнейший вопрос - это вопрос о степени неразрывности связей между элементами такой системы. Те элементы, которые могут быть отделены от предприятия как системы, физически и (или) юридически не могут быть надежным залогом. В частности, элементы интеллектуального капитала, в том числе обученный персонал, клиентские базы, системы управления и т.п., скорее всего, не поступят в распоряжение нового собственника. Их сохранение в составе предприятия - очень сложная задача, которая часто не под силу новому менеджменту предприятия, нанятому новым собственником.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Хотя </w:t>
      </w:r>
      <w:hyperlink r:id="rId13" w:history="1">
        <w:r>
          <w:rPr>
            <w:color w:val="0000FF"/>
          </w:rPr>
          <w:t>ГК</w:t>
        </w:r>
      </w:hyperlink>
      <w:r>
        <w:t xml:space="preserve"> РФ однозначно указывает на то, что имущественный комплекс признается недвижимостью, оценивается он как предприятие (бизнес). И это часто оправданно, так как в состав имущественного комплекса входят и права требования, и долги, и НМА - в том числе те, которые не ставятся на бухгалтерский учет, но соответствуют определению НМА (дают выгоду и генерируют доходы).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При неблагоприятных для банка условиях от некогда успешно действующего предприятия может остаться только то, что отделить невозможно: недвижимость и оборудование, которое связано с недвижимостью физически. Это могут быть станки и технологические линии, котлы, турбины, трансформаторы, кабельные сети, трубопроводы, лифты и подъемники и т.п.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Чтобы не включать в объект оценки долги и права требования, а также НМА, оценщики, как правило, ранее шли по пути оценки таких активов как простой совокупности элементов, не связанных между собой. Заказчик оценки составлял список активов (иногда это сотни инвентарных единиц), и каждый из них оценивался отдельно от других. Это неизбежно приводило к искажению (занижению) стоимости. И действительно, какова может быть рыночная стоимость станка, который изготовлен по индивидуальному заказу и размещен на мощном и специально </w:t>
      </w:r>
      <w:r>
        <w:lastRenderedPageBreak/>
        <w:t>спроектированном фундаменте? Если проследить цепочку действий, необходимых, чтобы продать его на открытом рынке, выяснится, что оценка такого станка как металлолома вполне разумна, несмотря на то что этот станок в составе единой системы работал вполне успешно и его справедливая стоимость близка к затратам на его приобретение.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Изменения в </w:t>
      </w:r>
      <w:hyperlink r:id="rId14" w:history="1">
        <w:r>
          <w:rPr>
            <w:color w:val="0000FF"/>
          </w:rPr>
          <w:t>ГК</w:t>
        </w:r>
      </w:hyperlink>
      <w:r>
        <w:t xml:space="preserve"> РФ прямо указали оценщику, что есть объект, который представляет собой систему, состоящую из материальных активов, обеспечивающих технологию производства. Это единый недвижимый комплекс.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ст. 133.1</w:t>
        </w:r>
      </w:hyperlink>
      <w:r>
        <w:t xml:space="preserve"> ГК РФ ЕНК - это совокупность объединенных единым назначением зданий, сооружений и иных вещей, неразрывно связанных физически или технологически, в том числе линейных объектов (железных дорог, линий электропередач, трубопроводов и др.), либо расположенных на одном земельном участке, если в ЕГРН зарегистрировано право собственности на совокупность указанных объектов в целом как на одну недвижимую вещь. К единым недвижимым комплексам применяются правила о неделимых вещах </w:t>
      </w:r>
      <w:hyperlink w:anchor="P56" w:history="1">
        <w:r>
          <w:rPr>
            <w:color w:val="0000FF"/>
          </w:rPr>
          <w:t>&lt;1&gt;</w:t>
        </w:r>
      </w:hyperlink>
      <w:r>
        <w:t>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CA9" w:rsidRDefault="00B76CA9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&lt;1&gt; </w:t>
      </w:r>
      <w:hyperlink r:id="rId16" w:history="1">
        <w:r>
          <w:rPr>
            <w:color w:val="0000FF"/>
          </w:rPr>
          <w:t>Статья 133.1</w:t>
        </w:r>
      </w:hyperlink>
      <w:r>
        <w:t xml:space="preserve"> ГК РФ введена в действие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02.07.2013 N 142-ФЗ.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 xml:space="preserve">В чем существенные отличия ЕНК от предприятия </w:t>
      </w:r>
      <w:hyperlink w:anchor="P60" w:history="1">
        <w:r>
          <w:rPr>
            <w:color w:val="0000FF"/>
          </w:rPr>
          <w:t>&lt;2&gt;</w:t>
        </w:r>
      </w:hyperlink>
      <w:r>
        <w:t>?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CA9" w:rsidRDefault="00B76CA9">
      <w:pPr>
        <w:pStyle w:val="ConsPlusNormal"/>
        <w:spacing w:before="220"/>
        <w:ind w:firstLine="540"/>
        <w:jc w:val="both"/>
      </w:pPr>
      <w:bookmarkStart w:id="4" w:name="P60"/>
      <w:bookmarkEnd w:id="4"/>
      <w:r>
        <w:t>&lt;2&gt; Рабиева Н. Единый недвижимый комплекс - новый вид недвижимой вещи (http://www.garant.ru/company/garant-press/ab/509529/2/).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>1. В состав ЕНК входят только вещи и не входят имущественные права и обязательства, а также исключительные права.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2. ЕНК отнесен законом к неделимым вещам, в то время как предприятие может участвовать в коммерческом обороте и как единый объект, и по частям.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3. Предприятие используется для осуществления предпринимательской деятельности, в то время как в отношении ЕНК законом такого требования не установлено.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4. В отношении предприятия законом прямо установлен порядок совершения отдельных видов сделок, в то время как правовой статус ЕНК регулируется только общими положениями.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jc w:val="center"/>
        <w:outlineLvl w:val="0"/>
      </w:pPr>
      <w:r>
        <w:t>Возможность раздела ЕНК и обращения на него взыскания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>Под неделимой понимается вещь, раздел которой в натуре невозможен без разрушения, повреждения вещи или изменения ее назначения. Неделимая вещь выступает в обороте как единый объект вещных прав. И оцениваться она должна как один объект оценки. Взыскание может быть обращено на неделимую вещь только в целом, если законом или судебным актом не установлена возможность выделения из вещи ее составной части, в том числе в целях продажи ее отдельно.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Логично предположить, что такая сложная вещь должна учитываться как один инвентарный объект, имеющий единый срок полезного использования, который определяется сроком экономической жизни основного технологического оборудования.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jc w:val="center"/>
        <w:outlineLvl w:val="0"/>
      </w:pPr>
      <w:r>
        <w:t>Какие методы оценки можно рекомендовать для ЕНК?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 xml:space="preserve">Каким ФСО необходимо руководствоваться: </w:t>
      </w:r>
      <w:hyperlink r:id="rId18" w:history="1">
        <w:r>
          <w:rPr>
            <w:color w:val="0000FF"/>
          </w:rPr>
          <w:t>ФСО 8</w:t>
        </w:r>
      </w:hyperlink>
      <w:r>
        <w:t xml:space="preserve"> "Оценка бизнеса", </w:t>
      </w:r>
      <w:hyperlink r:id="rId19" w:history="1">
        <w:r>
          <w:rPr>
            <w:color w:val="0000FF"/>
          </w:rPr>
          <w:t>ФСО 7</w:t>
        </w:r>
      </w:hyperlink>
      <w:r>
        <w:t xml:space="preserve"> "Оценка недвижимости" или </w:t>
      </w:r>
      <w:hyperlink r:id="rId20" w:history="1">
        <w:r>
          <w:rPr>
            <w:color w:val="0000FF"/>
          </w:rPr>
          <w:t>ФСО 10</w:t>
        </w:r>
      </w:hyperlink>
      <w:r>
        <w:t xml:space="preserve"> "Оценка стоимости машин и оборудования"?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lastRenderedPageBreak/>
        <w:t xml:space="preserve">Представляется, что от использования </w:t>
      </w:r>
      <w:hyperlink r:id="rId21" w:history="1">
        <w:r>
          <w:rPr>
            <w:color w:val="0000FF"/>
          </w:rPr>
          <w:t>ФСО 8</w:t>
        </w:r>
      </w:hyperlink>
      <w:r>
        <w:t xml:space="preserve"> как методической базы оценки ЕНК следует отказаться, так как оценка бизнеса, как правило, основывается на анализе бухгалтерской отчетности, а не на анализе технологии и продукции.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jc w:val="center"/>
        <w:outlineLvl w:val="1"/>
      </w:pPr>
      <w:r>
        <w:t>Затратный подход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>Для оценки ЕНК в рамках затратного подхода можно рекомендовать использовать проектно-сметную документацию и, в частности, сводный сметный расчет (ССР), в котором отражены все затраты на создание ЕНК.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Так как срок экономической жизни современных технологий редко превышает 25 - 30 лет, объектами оценки как ЕНК могут быть только относительно новые предприятия, проекты создания которых должны сохраниться у заказчика строительства и проектировщика. Конечно, ССР должен изучаться и корректироваться, и не только путем индексации, но и путем сравнения с актуальными рыночными ценами на ресурсы.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Износ рекомендуется определять методом эффективного возраста с использованием единого для всего комплекса срока экономической жизни технологии. Если в состав ЕНК входят здания и сооружения, капитальность которых позволяет прогнозировать существенно более высокий срок их физической жизни (50 - 100 лет), то такую избыточную капитальность следует рассматривать как "сверхулучшения" и не учитывать при формировании рыночной стоимости в рамках затратного подхода.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Современное промышленное здание - это здание из легких, эффективных строительных конструкций, как правило, большепролетное. Здания, имеющие мощный железобетонный или стальной каркас, а также железобетонные или кирпичные стены, имеют значительный функциональный износ, который необходимо учитывать в оценке ЕНК.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Варьирование индексов, полученных из разных источников, цен на основные ресурсы (основное оборудование, материалы-представители и труд), а также остаточного срока экономической жизни приводит к формированию диапазона стоимости ЕНК в рамках затратного подхода.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jc w:val="center"/>
        <w:outlineLvl w:val="1"/>
      </w:pPr>
      <w:r>
        <w:t>Сравнительный подход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>В рамках сравнительного подхода можно рекомендовать: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в качестве единицы сравнения использовать не стоимость на 1 м</w:t>
      </w:r>
      <w:r>
        <w:rPr>
          <w:vertAlign w:val="superscript"/>
        </w:rPr>
        <w:t>2</w:t>
      </w:r>
      <w:r>
        <w:t xml:space="preserve"> или 1 м</w:t>
      </w:r>
      <w:r>
        <w:rPr>
          <w:vertAlign w:val="superscript"/>
        </w:rPr>
        <w:t>3</w:t>
      </w:r>
      <w:r>
        <w:t xml:space="preserve"> зданий в составе ЕНК, а единицу мощности всего технологического комплекса;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 в качестве аналогов подбирать предложения или сделки по продаже комплексов, способных выпускать продукцию, качество которой близко к качеству продукции, выпускаемой оцениваемым комплексом, конечно, выполняя необходимые корректировки. Скорректированные цены объектов-аналогов сформируют диапазон стоимости ЕНК в рамках сравнительного подхода.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jc w:val="center"/>
        <w:outlineLvl w:val="1"/>
      </w:pPr>
      <w:r>
        <w:t>Доходный подход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>В рамках доходного подхода можно рекомендовать отталкиваться не от бухгалтерской отчетности предприятия, а от качества и количества продукции, которую может производить ЕНК. Качество формирует рыночные цены. Состояние рынка диктует объем продаж и загрузку комплекса. При этом 100%-ная загрузка не только маловероятна, но и не может рассматриваться как идеал.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Себестоимость продукции может определяться на основе отраслевых рыночных данных и (или) по ретроспективным данным, в том числе наблюдаемым после даты оценки, так как речь </w:t>
      </w:r>
      <w:r>
        <w:lastRenderedPageBreak/>
        <w:t xml:space="preserve">идет о тенденциях, упомянутых в </w:t>
      </w:r>
      <w:hyperlink r:id="rId22" w:history="1">
        <w:r>
          <w:rPr>
            <w:color w:val="0000FF"/>
          </w:rPr>
          <w:t>п. 8</w:t>
        </w:r>
      </w:hyperlink>
      <w:r>
        <w:t xml:space="preserve"> ФСО 1.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Ставка дисконтирования должна отражать отраслевую рентабельность. Варьирование таких показателей, как цена продукции, загрузка оборудования, рентабельность, позволит сформировать диапазон стоимости в рамках доходного подхода.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 xml:space="preserve">При согласовании результатов реализации подходов к оценке ЕНК рекомендуется использовать доходный подход в качестве так называемого теста на обесценение </w:t>
      </w:r>
      <w:hyperlink w:anchor="P98" w:history="1">
        <w:r>
          <w:rPr>
            <w:color w:val="0000FF"/>
          </w:rPr>
          <w:t>&lt;1&gt;</w:t>
        </w:r>
      </w:hyperlink>
      <w:r>
        <w:t xml:space="preserve">. При этом проверяется тот факт, что капитализированные доходы от использования комплекса не ниже, чем рыночная стоимость ЕНК, полученная путем согласования результатов реализации затратного и сравнительного подходов (в случае наличия нескольких аналогов). Интервал стоимости формируется из диапазонов стоимости, полученных в рамках затратного и доходного подходов </w:t>
      </w:r>
      <w:hyperlink w:anchor="P99" w:history="1">
        <w:r>
          <w:rPr>
            <w:color w:val="0000FF"/>
          </w:rPr>
          <w:t>&lt;2&gt;</w:t>
        </w:r>
      </w:hyperlink>
      <w:r>
        <w:t xml:space="preserve"> с учетом принципа осторожности.</w:t>
      </w:r>
    </w:p>
    <w:p w:rsidR="00B76CA9" w:rsidRDefault="00B76C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CA9" w:rsidRDefault="00B76CA9">
      <w:pPr>
        <w:pStyle w:val="ConsPlusNormal"/>
        <w:spacing w:before="220"/>
        <w:ind w:firstLine="540"/>
        <w:jc w:val="both"/>
      </w:pPr>
      <w:bookmarkStart w:id="5" w:name="P98"/>
      <w:bookmarkEnd w:id="5"/>
      <w:r>
        <w:t>&lt;1&gt; Исиченко Л.Р., Кузнецов Д.Д., Собинин Д.Е. Оценка предприятий в соответствии с требованиями МФО (http://www.ddk-spb.ru/ftpgetfile.php?id=32).</w:t>
      </w:r>
    </w:p>
    <w:p w:rsidR="00B76CA9" w:rsidRDefault="00B76CA9">
      <w:pPr>
        <w:pStyle w:val="ConsPlusNormal"/>
        <w:spacing w:before="220"/>
        <w:ind w:firstLine="540"/>
        <w:jc w:val="both"/>
      </w:pPr>
      <w:bookmarkStart w:id="6" w:name="P99"/>
      <w:bookmarkEnd w:id="6"/>
      <w:r>
        <w:t>&lt;2&gt; Козин П.А., Кузнецов Д.Д. Интервал стоимости - практический аспект // Бюллетень RWAY. Май 2018 г. N 278.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ind w:firstLine="540"/>
        <w:jc w:val="both"/>
      </w:pPr>
      <w:r>
        <w:t>Стоимость ЕНК, определенная на базе полных затрат на замещение, является адекватной в случае, если ЕНК будет успешно использоваться. Чтобы не допустить резкого снижения стоимости ЕНК и приближения рыночной стоимости к утилизационной (распродажи составляющих комплекса по частям), банк должен внимательно и регулярно анализировать состояние и эффективность использования ЕНК, то есть осуществлять мониторинг его стоимости. В этом случае банк получает возможность своевременно перехватить управление ЕНК и обеспечить сохранение его высокой стоимости.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jc w:val="right"/>
      </w:pPr>
      <w:r>
        <w:t>Д. Кузнецов</w:t>
      </w:r>
    </w:p>
    <w:p w:rsidR="00B76CA9" w:rsidRDefault="00B76CA9">
      <w:pPr>
        <w:pStyle w:val="ConsPlusNormal"/>
        <w:jc w:val="right"/>
      </w:pPr>
      <w:r>
        <w:t>К. т. н.,</w:t>
      </w:r>
    </w:p>
    <w:p w:rsidR="00B76CA9" w:rsidRDefault="00B76CA9">
      <w:pPr>
        <w:pStyle w:val="ConsPlusNormal"/>
        <w:jc w:val="right"/>
      </w:pPr>
      <w:r>
        <w:t>доцент,</w:t>
      </w:r>
    </w:p>
    <w:p w:rsidR="00B76CA9" w:rsidRDefault="00B76CA9">
      <w:pPr>
        <w:pStyle w:val="ConsPlusNormal"/>
        <w:jc w:val="right"/>
      </w:pPr>
      <w:r>
        <w:t>главный эксперт</w:t>
      </w:r>
    </w:p>
    <w:p w:rsidR="00B76CA9" w:rsidRDefault="00B76CA9">
      <w:pPr>
        <w:pStyle w:val="ConsPlusNormal"/>
        <w:jc w:val="right"/>
      </w:pPr>
      <w:r>
        <w:t>"РМС-оценка"</w:t>
      </w:r>
    </w:p>
    <w:p w:rsidR="00B76CA9" w:rsidRDefault="00B76CA9">
      <w:pPr>
        <w:pStyle w:val="ConsPlusNormal"/>
      </w:pPr>
      <w:r>
        <w:t>Подписано в печать</w:t>
      </w:r>
    </w:p>
    <w:p w:rsidR="00B76CA9" w:rsidRDefault="00B76CA9">
      <w:pPr>
        <w:pStyle w:val="ConsPlusNormal"/>
        <w:spacing w:before="220"/>
      </w:pPr>
      <w:r>
        <w:t>01.10.2018</w:t>
      </w: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jc w:val="both"/>
      </w:pPr>
    </w:p>
    <w:p w:rsidR="00B76CA9" w:rsidRDefault="00B76C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2FCF" w:rsidRDefault="00FE2FCF">
      <w:bookmarkStart w:id="7" w:name="_GoBack"/>
      <w:bookmarkEnd w:id="7"/>
    </w:p>
    <w:sectPr w:rsidR="00FE2FCF" w:rsidSect="00E2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A9"/>
    <w:rsid w:val="00B76CA9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F340AEE487D291C7BA8A41583D16887F7FDCAF67F6F1E5A5072370B8E7E5E5C82866659E0A3140B6673AA863447E90754FF782A5BA9H" TargetMode="External"/><Relationship Id="rId13" Type="http://schemas.openxmlformats.org/officeDocument/2006/relationships/hyperlink" Target="consultantplus://offline/ref=930F340AEE487D291C7BA8A41583D16887F7FDCAF67F6F1E5A5072370B8E7E5E5C8286625FE5A040522972F6C06054EA0754FC7935B32FFA56A2H" TargetMode="External"/><Relationship Id="rId18" Type="http://schemas.openxmlformats.org/officeDocument/2006/relationships/hyperlink" Target="consultantplus://offline/ref=930F340AEE487D291C7BA8A41583D16884F6F9CAFA796F1E5A5072370B8E7E5E5C8286625FE5A840532972F6C06054EA0754FC7935B32FFA56A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0F340AEE487D291C7BA8A41583D16884F6F9CAFA796F1E5A5072370B8E7E5E5C8286625FE5A840532972F6C06054EA0754FC7935B32FFA56A2H" TargetMode="External"/><Relationship Id="rId7" Type="http://schemas.openxmlformats.org/officeDocument/2006/relationships/hyperlink" Target="consultantplus://offline/ref=930F340AEE487D291C7BA8A41583D16887F7FDCAF67F6F1E5A5072370B8E7E5E5C82866459EEFC111E772BA5852B58E91848FD7952A3H" TargetMode="External"/><Relationship Id="rId12" Type="http://schemas.openxmlformats.org/officeDocument/2006/relationships/hyperlink" Target="consultantplus://offline/ref=930F340AEE487D291C7BA8A41583D16887F7FDCAF67F6F1E5A5072370B8E7E5E5C8286625FE5AF485C2972F6C06054EA0754FC7935B32FFA56A2H" TargetMode="External"/><Relationship Id="rId17" Type="http://schemas.openxmlformats.org/officeDocument/2006/relationships/hyperlink" Target="consultantplus://offline/ref=930F340AEE487D291C7BA8A41583D16884FAF1C8FA796F1E5A5072370B8E7E5E5C8286625FE5A8425D2972F6C06054EA0754FC7935B32FFA56A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0F340AEE487D291C7BA8A41583D16887F7FDCAF67F6F1E5A5072370B8E7E5E5C82866659E0A3140B6673AA863447E90754FF782A5BA9H" TargetMode="External"/><Relationship Id="rId20" Type="http://schemas.openxmlformats.org/officeDocument/2006/relationships/hyperlink" Target="consultantplus://offline/ref=930F340AEE487D291C7BA8A41583D16884F6F9CAFA7E6F1E5A5072370B8E7E5E5C8286625FE5A840532972F6C06054EA0754FC7935B32FFA56A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F340AEE487D291C7BA8A41583D16887F7FDCAF67F6F1E5A5072370B8E7E5E5C82866659E0A3140B6673AA863447E90754FF782A5BA9H" TargetMode="External"/><Relationship Id="rId11" Type="http://schemas.openxmlformats.org/officeDocument/2006/relationships/hyperlink" Target="consultantplus://offline/ref=930F340AEE487D291C7BB6AA1183D16887FFFECBFE786F1E5A5072370B8E7E5E5C8286625FE5AA48522972F6C06054EA0754FC7935B32FFA56A2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30F340AEE487D291C7BA8A41583D16887F7FDCAF67F6F1E5A5072370B8E7E5E5C82866659E0A3140B6673AA863447E90754FF782A5BA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30F340AEE487D291C7BA8A41583D16886FEFDCDF87A6F1E5A5072370B8E7E5E4E82DE6E5DE4B6415B3C24A78553ADH" TargetMode="External"/><Relationship Id="rId19" Type="http://schemas.openxmlformats.org/officeDocument/2006/relationships/hyperlink" Target="consultantplus://offline/ref=930F340AEE487D291C7BA8A41583D16884F8F9CAF8756F1E5A5072370B8E7E5E5C8286625FE5A840522972F6C06054EA0754FC7935B32FFA56A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0F340AEE487D291C7BA8A41583D16886FEFDCDF87A6F1E5A5072370B8E7E5E5C8286625FE5A8425F2972F6C06054EA0754FC7935B32FFA56A2H" TargetMode="External"/><Relationship Id="rId14" Type="http://schemas.openxmlformats.org/officeDocument/2006/relationships/hyperlink" Target="consultantplus://offline/ref=930F340AEE487D291C7BA8A41583D16887F7FDCAF67F6F1E5A5072370B8E7E5E5C82866659E3A3140B6673AA863447E90754FF782A5BA9H" TargetMode="External"/><Relationship Id="rId22" Type="http://schemas.openxmlformats.org/officeDocument/2006/relationships/hyperlink" Target="consultantplus://offline/ref=930F340AEE487D291C7BA8A41583D16884F6F9CCF9796F1E5A5072370B8E7E5E5C8286625FE5A8425A2972F6C06054EA0754FC7935B32FFA56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Кужина Алена Владимировна</dc:creator>
  <cp:lastModifiedBy>Кужина Алена Владимировна</cp:lastModifiedBy>
  <cp:revision>1</cp:revision>
  <dcterms:created xsi:type="dcterms:W3CDTF">2018-11-21T07:00:00Z</dcterms:created>
  <dcterms:modified xsi:type="dcterms:W3CDTF">2018-11-21T07:01:00Z</dcterms:modified>
</cp:coreProperties>
</file>